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C49C89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50204" w:rsidRPr="00250204">
        <w:rPr>
          <w:rFonts w:ascii="Arial" w:eastAsia="MS Mincho" w:hAnsi="Arial" w:cs="Arial"/>
          <w:b/>
          <w:sz w:val="24"/>
          <w:szCs w:val="24"/>
          <w:lang w:eastAsia="ja-JP"/>
        </w:rPr>
        <w:t>S1-230155</w:t>
      </w:r>
    </w:p>
    <w:p w14:paraId="37928451" w14:textId="30FFAF0E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BC5AD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9455E">
        <w:rPr>
          <w:rFonts w:ascii="Arial" w:hAnsi="Arial" w:cs="Arial"/>
          <w:b/>
          <w:bCs/>
        </w:rPr>
        <w:t>Qualcomm</w:t>
      </w:r>
    </w:p>
    <w:p w14:paraId="4711311D" w14:textId="4517F1B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6C2147">
        <w:rPr>
          <w:rFonts w:ascii="Arial" w:hAnsi="Arial" w:cs="Arial"/>
          <w:b/>
          <w:bCs/>
        </w:rPr>
        <w:t xml:space="preserve">Text Proposal for </w:t>
      </w:r>
      <w:r w:rsidR="008B5094">
        <w:rPr>
          <w:rFonts w:ascii="Arial" w:hAnsi="Arial" w:cs="Arial"/>
          <w:b/>
          <w:bCs/>
        </w:rPr>
        <w:t xml:space="preserve">the </w:t>
      </w:r>
      <w:r w:rsidR="006C2147">
        <w:rPr>
          <w:rFonts w:ascii="Arial" w:hAnsi="Arial" w:cs="Arial"/>
          <w:b/>
          <w:bCs/>
        </w:rPr>
        <w:t>Overview section</w:t>
      </w:r>
    </w:p>
    <w:p w14:paraId="7996084A" w14:textId="6A16452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632F7">
        <w:rPr>
          <w:rFonts w:ascii="Arial" w:hAnsi="Arial" w:cs="Arial"/>
          <w:b/>
          <w:bCs/>
        </w:rPr>
        <w:t>22.84</w:t>
      </w:r>
      <w:r w:rsidR="006C2147">
        <w:rPr>
          <w:rFonts w:ascii="Arial" w:hAnsi="Arial" w:cs="Arial"/>
          <w:b/>
          <w:bCs/>
        </w:rPr>
        <w:t>1</w:t>
      </w:r>
    </w:p>
    <w:p w14:paraId="0BC8E829" w14:textId="23F50C5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D265D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D265D">
        <w:rPr>
          <w:rFonts w:ascii="Arial" w:hAnsi="Arial" w:cs="Arial"/>
          <w:b/>
          <w:bCs/>
        </w:rPr>
        <w:t>9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5B1C7A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3291A">
        <w:rPr>
          <w:rFonts w:ascii="Arial" w:hAnsi="Arial" w:cs="Arial"/>
          <w:b/>
          <w:bCs/>
        </w:rPr>
        <w:t>Francesco Pica</w:t>
      </w:r>
      <w:r w:rsidR="0073291A">
        <w:rPr>
          <w:rFonts w:ascii="Arial" w:hAnsi="Arial" w:cs="Arial"/>
          <w:b/>
          <w:bCs/>
        </w:rPr>
        <w:br/>
        <w:t>fpica&lt;at&gt;qti.qualcomm.com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CFE398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76B93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624F81">
        <w:rPr>
          <w:rFonts w:ascii="Arial" w:eastAsia="Calibri" w:hAnsi="Arial" w:cs="Arial"/>
          <w:i/>
          <w:sz w:val="22"/>
          <w:szCs w:val="22"/>
        </w:rPr>
        <w:t>propos</w:t>
      </w:r>
      <w:r w:rsidR="00B76B93">
        <w:rPr>
          <w:rFonts w:ascii="Arial" w:eastAsia="Calibri" w:hAnsi="Arial" w:cs="Arial"/>
          <w:i/>
          <w:sz w:val="22"/>
          <w:szCs w:val="22"/>
        </w:rPr>
        <w:t>es</w:t>
      </w:r>
      <w:r w:rsidR="00624F81">
        <w:rPr>
          <w:rFonts w:ascii="Arial" w:eastAsia="Calibri" w:hAnsi="Arial" w:cs="Arial"/>
          <w:i/>
          <w:sz w:val="22"/>
          <w:szCs w:val="22"/>
        </w:rPr>
        <w:t xml:space="preserve"> </w:t>
      </w:r>
      <w:r w:rsidR="006C2147">
        <w:rPr>
          <w:rFonts w:ascii="Arial" w:eastAsia="Calibri" w:hAnsi="Arial" w:cs="Arial"/>
          <w:i/>
          <w:sz w:val="22"/>
          <w:szCs w:val="22"/>
        </w:rPr>
        <w:t xml:space="preserve">a text proposal for </w:t>
      </w:r>
      <w:r w:rsidR="00391CFD">
        <w:rPr>
          <w:rFonts w:ascii="Arial" w:eastAsia="Calibri" w:hAnsi="Arial" w:cs="Arial"/>
          <w:i/>
          <w:sz w:val="22"/>
          <w:szCs w:val="22"/>
        </w:rPr>
        <w:t>updating the</w:t>
      </w:r>
      <w:r w:rsidR="006C2147">
        <w:rPr>
          <w:rFonts w:ascii="Arial" w:eastAsia="Calibri" w:hAnsi="Arial" w:cs="Arial"/>
          <w:i/>
          <w:sz w:val="22"/>
          <w:szCs w:val="22"/>
        </w:rPr>
        <w:t xml:space="preserve"> overview section</w:t>
      </w:r>
      <w:r w:rsidR="00391CFD">
        <w:rPr>
          <w:rFonts w:ascii="Arial" w:eastAsia="Calibri" w:hAnsi="Arial" w:cs="Arial"/>
          <w:i/>
          <w:sz w:val="22"/>
          <w:szCs w:val="22"/>
        </w:rPr>
        <w:t xml:space="preserve"> of </w:t>
      </w:r>
      <w:r w:rsidR="004B112E">
        <w:rPr>
          <w:rFonts w:ascii="Arial" w:eastAsia="Calibri" w:hAnsi="Arial" w:cs="Arial"/>
          <w:i/>
          <w:sz w:val="22"/>
          <w:szCs w:val="22"/>
        </w:rPr>
        <w:t>TR 22.84</w:t>
      </w:r>
      <w:r w:rsidR="00391CFD">
        <w:rPr>
          <w:rFonts w:ascii="Arial" w:eastAsia="Calibri" w:hAnsi="Arial" w:cs="Arial"/>
          <w:i/>
          <w:sz w:val="22"/>
          <w:szCs w:val="22"/>
        </w:rPr>
        <w:t>1</w:t>
      </w:r>
      <w:r w:rsidR="004B112E">
        <w:rPr>
          <w:rFonts w:ascii="Arial" w:eastAsia="Calibri" w:hAnsi="Arial" w:cs="Arial"/>
          <w:i/>
          <w:sz w:val="22"/>
          <w:szCs w:val="22"/>
        </w:rPr>
        <w:t xml:space="preserve"> v020</w:t>
      </w:r>
      <w:r w:rsidR="00624F81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74918F" w14:textId="77777777" w:rsidR="005B1109" w:rsidRPr="004D3578" w:rsidRDefault="005B1109" w:rsidP="005B1109">
      <w:pPr>
        <w:pStyle w:val="Heading1"/>
      </w:pPr>
      <w:bookmarkStart w:id="0" w:name="_Toc120021136"/>
      <w:bookmarkStart w:id="1" w:name="_Toc120136490"/>
      <w:r w:rsidRPr="004D3578">
        <w:t>4</w:t>
      </w:r>
      <w:r w:rsidRPr="004D3578">
        <w:tab/>
      </w:r>
      <w:r>
        <w:t>Overview</w:t>
      </w:r>
      <w:bookmarkEnd w:id="0"/>
      <w:bookmarkEnd w:id="1"/>
    </w:p>
    <w:p w14:paraId="1E00D2EC" w14:textId="3D894C18" w:rsidR="005B1109" w:rsidDel="005B1109" w:rsidRDefault="005B1109" w:rsidP="005B1109">
      <w:pPr>
        <w:ind w:left="284"/>
        <w:rPr>
          <w:del w:id="2" w:author="Qualcomm1" w:date="2023-02-06T14:10:00Z"/>
          <w:color w:val="FF0000"/>
        </w:rPr>
      </w:pPr>
      <w:del w:id="3" w:author="Qualcomm1" w:date="2023-02-06T14:10:00Z">
        <w:r w:rsidRPr="00123C59" w:rsidDel="005B1109">
          <w:rPr>
            <w:color w:val="FF0000"/>
          </w:rPr>
          <w:delText xml:space="preserve">Editor’s Note: </w:delText>
        </w:r>
        <w:r w:rsidDel="005B1109">
          <w:rPr>
            <w:color w:val="FF0000"/>
          </w:rPr>
          <w:delText>intends to provide a general overview</w:delText>
        </w:r>
        <w:r w:rsidRPr="00123C59" w:rsidDel="005B1109">
          <w:rPr>
            <w:color w:val="FF0000"/>
          </w:rPr>
          <w:delText xml:space="preserve"> </w:delText>
        </w:r>
        <w:r w:rsidDel="005B1109">
          <w:rPr>
            <w:color w:val="FF0000"/>
          </w:rPr>
          <w:delText>of target scenarios/use cases, main assumptions/options and other general aspects of the TR. May include high-level diagrams/figures, to illustrate connectivity concepts.</w:delText>
        </w:r>
      </w:del>
    </w:p>
    <w:p w14:paraId="20A87583" w14:textId="5FC6EB32" w:rsidR="005B1109" w:rsidDel="005B1109" w:rsidRDefault="005B1109" w:rsidP="005B1109">
      <w:pPr>
        <w:ind w:left="284"/>
        <w:rPr>
          <w:del w:id="4" w:author="Qualcomm1" w:date="2023-02-06T14:10:00Z"/>
          <w:color w:val="FF0000"/>
        </w:rPr>
      </w:pPr>
      <w:del w:id="5" w:author="Qualcomm1" w:date="2023-02-06T14:10:00Z">
        <w:r w:rsidRPr="00123C59" w:rsidDel="005B1109">
          <w:rPr>
            <w:color w:val="FF0000"/>
          </w:rPr>
          <w:delText>Editor’s Note:</w:delText>
        </w:r>
        <w:r w:rsidDel="005B1109">
          <w:rPr>
            <w:color w:val="FF0000"/>
          </w:rPr>
          <w:delText xml:space="preserve"> this section should include a general statement clarifying that “</w:delText>
        </w:r>
        <w:r w:rsidDel="005B1109">
          <w:rPr>
            <w:i/>
            <w:iCs/>
          </w:rPr>
          <w:delText>The identified use cases and potential requirements assume 5GS functionalities that do not foresee RAN impacts.</w:delText>
        </w:r>
        <w:r w:rsidDel="005B1109">
          <w:rPr>
            <w:color w:val="FF0000"/>
          </w:rPr>
          <w:delText>”</w:delText>
        </w:r>
      </w:del>
    </w:p>
    <w:p w14:paraId="79B0EAE4" w14:textId="50B98825" w:rsidR="005B1109" w:rsidDel="005B1109" w:rsidRDefault="005B1109" w:rsidP="005B1109">
      <w:pPr>
        <w:ind w:left="284"/>
        <w:rPr>
          <w:del w:id="6" w:author="Qualcomm1" w:date="2023-02-06T14:10:00Z"/>
          <w:color w:val="FF0000"/>
        </w:rPr>
      </w:pPr>
      <w:del w:id="7" w:author="Qualcomm1" w:date="2023-02-06T14:10:00Z">
        <w:r w:rsidRPr="00123C59" w:rsidDel="005B1109">
          <w:rPr>
            <w:color w:val="FF0000"/>
          </w:rPr>
          <w:delText>Editor’s Note:</w:delText>
        </w:r>
        <w:r w:rsidDel="005B1109">
          <w:rPr>
            <w:color w:val="FF0000"/>
          </w:rPr>
          <w:delText xml:space="preserve"> this section should include a statement clarifying that “</w:delText>
        </w:r>
        <w:r w:rsidRPr="00825FB9" w:rsidDel="005B1109">
          <w:rPr>
            <w:i/>
            <w:iCs/>
          </w:rPr>
          <w:delText>traffic routing policies are under HPLMN control.</w:delText>
        </w:r>
        <w:r w:rsidDel="005B1109">
          <w:rPr>
            <w:color w:val="FF0000"/>
          </w:rPr>
          <w:delText>”</w:delText>
        </w:r>
      </w:del>
    </w:p>
    <w:p w14:paraId="13E3C142" w14:textId="4C2E2D15" w:rsidR="00BD4571" w:rsidRDefault="00A82CEA" w:rsidP="00A82CEA">
      <w:pPr>
        <w:rPr>
          <w:ins w:id="8" w:author="Qualcomm2" w:date="2023-02-09T12:55:00Z"/>
          <w:rFonts w:eastAsia="Calibri"/>
        </w:rPr>
      </w:pPr>
      <w:ins w:id="9" w:author="Qualcomm2" w:date="2023-02-09T12:26:00Z">
        <w:r>
          <w:rPr>
            <w:rFonts w:eastAsia="Calibri"/>
          </w:rPr>
          <w:t>This TR captures a set of use cases and potential service requirements related to</w:t>
        </w:r>
        <w:r w:rsidRPr="007849A2">
          <w:rPr>
            <w:rFonts w:eastAsia="Calibri"/>
          </w:rPr>
          <w:t xml:space="preserve"> 5G system support </w:t>
        </w:r>
        <w:r>
          <w:rPr>
            <w:rFonts w:eastAsia="Calibri"/>
          </w:rPr>
          <w:t>of traffic</w:t>
        </w:r>
        <w:r w:rsidRPr="007849A2">
          <w:rPr>
            <w:rFonts w:eastAsia="Calibri"/>
          </w:rPr>
          <w:t xml:space="preserve"> steering, splitting and switching of UE’s user data across two 3GPP access networks</w:t>
        </w:r>
        <w:r>
          <w:rPr>
            <w:rFonts w:eastAsia="Calibri"/>
          </w:rPr>
          <w:t xml:space="preserve">. Different PLMN/network scenarios are covered: </w:t>
        </w:r>
        <w:r w:rsidRPr="007849A2">
          <w:rPr>
            <w:rFonts w:eastAsia="Calibri"/>
          </w:rPr>
          <w:t xml:space="preserve">same PLMN or across two PLMNs or between a PLMN and an NPN, </w:t>
        </w:r>
        <w:r>
          <w:rPr>
            <w:rFonts w:eastAsia="Calibri"/>
          </w:rPr>
          <w:t xml:space="preserve">all </w:t>
        </w:r>
        <w:r w:rsidRPr="007849A2">
          <w:rPr>
            <w:rFonts w:eastAsia="Calibri"/>
          </w:rPr>
          <w:t xml:space="preserve">assuming a single PLMN subscription. </w:t>
        </w:r>
      </w:ins>
      <w:ins w:id="10" w:author="Qualcomm2" w:date="2023-02-09T12:56:00Z">
        <w:r w:rsidR="003170A9">
          <w:rPr>
            <w:rFonts w:eastAsia="Calibri"/>
          </w:rPr>
          <w:t xml:space="preserve">The following figure shows two </w:t>
        </w:r>
      </w:ins>
      <w:ins w:id="11" w:author="Qualcomm2" w:date="2023-02-09T13:01:00Z">
        <w:r w:rsidR="00162E27">
          <w:rPr>
            <w:rFonts w:eastAsia="Calibri"/>
          </w:rPr>
          <w:t>general</w:t>
        </w:r>
      </w:ins>
      <w:ins w:id="12" w:author="Qualcomm2" w:date="2023-02-09T12:58:00Z">
        <w:r w:rsidR="001F23AB">
          <w:rPr>
            <w:rFonts w:eastAsia="Calibri"/>
          </w:rPr>
          <w:t xml:space="preserve"> </w:t>
        </w:r>
      </w:ins>
      <w:ins w:id="13" w:author="Qualcomm2" w:date="2023-02-09T12:56:00Z">
        <w:r w:rsidR="003170A9">
          <w:rPr>
            <w:rFonts w:eastAsia="Calibri"/>
          </w:rPr>
          <w:t>examples</w:t>
        </w:r>
      </w:ins>
      <w:ins w:id="14" w:author="Qualcomm2" w:date="2023-02-09T13:02:00Z">
        <w:r w:rsidR="00EF28B4">
          <w:rPr>
            <w:rFonts w:eastAsia="Calibri"/>
          </w:rPr>
          <w:t>:</w:t>
        </w:r>
      </w:ins>
      <w:ins w:id="15" w:author="Qualcomm2" w:date="2023-02-09T12:57:00Z">
        <w:r w:rsidR="004C1EEF">
          <w:rPr>
            <w:rFonts w:eastAsia="Calibri"/>
          </w:rPr>
          <w:t xml:space="preserve"> </w:t>
        </w:r>
      </w:ins>
      <w:ins w:id="16" w:author="Qualcomm2" w:date="2023-02-09T12:58:00Z">
        <w:r w:rsidR="001F23AB">
          <w:rPr>
            <w:rFonts w:eastAsia="Calibri"/>
          </w:rPr>
          <w:t xml:space="preserve">(a) </w:t>
        </w:r>
      </w:ins>
      <w:ins w:id="17" w:author="Qualcomm2" w:date="2023-02-09T13:02:00Z">
        <w:r w:rsidR="00EF28B4">
          <w:rPr>
            <w:rFonts w:eastAsia="Calibri"/>
          </w:rPr>
          <w:t xml:space="preserve">single PLMN </w:t>
        </w:r>
      </w:ins>
      <w:ins w:id="18" w:author="Qualcomm2" w:date="2023-02-09T12:57:00Z">
        <w:r w:rsidR="004C1EEF">
          <w:rPr>
            <w:rFonts w:eastAsia="Calibri"/>
          </w:rPr>
          <w:t>using two terrestrial</w:t>
        </w:r>
        <w:r w:rsidR="00BA4965">
          <w:rPr>
            <w:rFonts w:eastAsia="Calibri"/>
          </w:rPr>
          <w:t xml:space="preserve"> RAN</w:t>
        </w:r>
      </w:ins>
      <w:ins w:id="19" w:author="Qualcomm2" w:date="2023-02-09T13:02:00Z">
        <w:r w:rsidR="00EF28B4">
          <w:rPr>
            <w:rFonts w:eastAsia="Calibri"/>
          </w:rPr>
          <w:t xml:space="preserve">; </w:t>
        </w:r>
      </w:ins>
      <w:ins w:id="20" w:author="Qualcomm2" w:date="2023-02-09T12:59:00Z">
        <w:r w:rsidR="001F23AB">
          <w:rPr>
            <w:rFonts w:eastAsia="Calibri"/>
          </w:rPr>
          <w:t xml:space="preserve">(b) </w:t>
        </w:r>
      </w:ins>
      <w:ins w:id="21" w:author="Qualcomm2" w:date="2023-02-09T13:02:00Z">
        <w:r w:rsidR="0090097B">
          <w:rPr>
            <w:rFonts w:eastAsia="Calibri"/>
          </w:rPr>
          <w:t xml:space="preserve">traffic </w:t>
        </w:r>
      </w:ins>
      <w:ins w:id="22" w:author="Qualcomm2" w:date="2023-02-09T12:58:00Z">
        <w:r w:rsidR="001F23AB">
          <w:rPr>
            <w:rFonts w:eastAsia="Calibri"/>
          </w:rPr>
          <w:t>across two PLMNs</w:t>
        </w:r>
      </w:ins>
      <w:ins w:id="23" w:author="Qualcomm2" w:date="2023-02-09T13:02:00Z">
        <w:r w:rsidR="0090097B">
          <w:rPr>
            <w:rFonts w:eastAsia="Calibri"/>
          </w:rPr>
          <w:t>,</w:t>
        </w:r>
      </w:ins>
      <w:ins w:id="24" w:author="Qualcomm2" w:date="2023-02-09T12:58:00Z">
        <w:r w:rsidR="001F23AB">
          <w:rPr>
            <w:rFonts w:eastAsia="Calibri"/>
          </w:rPr>
          <w:t xml:space="preserve"> using terrestrial and satellite access</w:t>
        </w:r>
      </w:ins>
      <w:ins w:id="25" w:author="Qualcomm2" w:date="2023-02-09T13:01:00Z">
        <w:r w:rsidR="0088222E">
          <w:rPr>
            <w:rFonts w:eastAsia="Calibri"/>
          </w:rPr>
          <w:t xml:space="preserve"> RAN</w:t>
        </w:r>
      </w:ins>
      <w:ins w:id="26" w:author="Qualcomm2" w:date="2023-02-09T12:58:00Z">
        <w:r w:rsidR="001F23AB">
          <w:rPr>
            <w:rFonts w:eastAsia="Calibri"/>
          </w:rPr>
          <w:t>, respectively.</w:t>
        </w:r>
      </w:ins>
    </w:p>
    <w:p w14:paraId="0D99A8FB" w14:textId="2C4543FE" w:rsidR="00BD4571" w:rsidRDefault="00511B9D" w:rsidP="00511B9D">
      <w:pPr>
        <w:jc w:val="center"/>
        <w:rPr>
          <w:rFonts w:eastAsia="Calibri"/>
        </w:rPr>
      </w:pPr>
      <w:ins w:id="27" w:author="Qualcomm2" w:date="2023-02-09T12:55:00Z">
        <w:r>
          <w:rPr>
            <w:rFonts w:eastAsia="Calibri"/>
            <w:noProof/>
          </w:rPr>
          <w:drawing>
            <wp:inline distT="0" distB="0" distL="0" distR="0" wp14:anchorId="00E074EE" wp14:editId="5C61780D">
              <wp:extent cx="4574824" cy="1544981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3504" cy="155804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84E2A08" w14:textId="141B132E" w:rsidR="00511B9D" w:rsidRDefault="003170A9" w:rsidP="00511B9D">
      <w:pPr>
        <w:jc w:val="center"/>
        <w:rPr>
          <w:ins w:id="28" w:author="Qualcomm2" w:date="2023-02-09T12:55:00Z"/>
          <w:rFonts w:eastAsia="Calibri"/>
        </w:rPr>
      </w:pPr>
      <w:ins w:id="29" w:author="Qualcomm2" w:date="2023-02-09T12:56:00Z">
        <w:r w:rsidRPr="005E7002">
          <w:rPr>
            <w:b/>
            <w:sz w:val="18"/>
            <w:szCs w:val="18"/>
          </w:rPr>
          <w:t xml:space="preserve">Figure </w:t>
        </w:r>
        <w:r>
          <w:rPr>
            <w:b/>
            <w:sz w:val="18"/>
            <w:szCs w:val="18"/>
          </w:rPr>
          <w:t>4.1: Examples of Intra-PLMN and Inter-PLMN scenarios</w:t>
        </w:r>
      </w:ins>
    </w:p>
    <w:p w14:paraId="366CBBE7" w14:textId="4944757A" w:rsidR="00570781" w:rsidRPr="007849A2" w:rsidRDefault="00570781" w:rsidP="00570781">
      <w:pPr>
        <w:rPr>
          <w:ins w:id="30" w:author="Qualcomm2" w:date="2023-02-09T12:26:00Z"/>
          <w:rFonts w:eastAsia="Calibri"/>
        </w:rPr>
      </w:pPr>
      <w:ins w:id="31" w:author="Qualcomm2" w:date="2023-02-09T12:26:00Z">
        <w:r>
          <w:rPr>
            <w:rFonts w:eastAsia="Calibri"/>
          </w:rPr>
          <w:t xml:space="preserve">Use cases cover various example combinations of </w:t>
        </w:r>
        <w:r w:rsidRPr="007849A2">
          <w:rPr>
            <w:rFonts w:eastAsia="Calibri"/>
          </w:rPr>
          <w:t xml:space="preserve">3GPP </w:t>
        </w:r>
        <w:r>
          <w:rPr>
            <w:rFonts w:eastAsia="Calibri"/>
          </w:rPr>
          <w:t xml:space="preserve">access </w:t>
        </w:r>
        <w:r w:rsidRPr="007849A2">
          <w:rPr>
            <w:rFonts w:eastAsia="Calibri"/>
          </w:rPr>
          <w:t xml:space="preserve">networks </w:t>
        </w:r>
        <w:r>
          <w:rPr>
            <w:rFonts w:eastAsia="Calibri"/>
          </w:rPr>
          <w:t>using</w:t>
        </w:r>
        <w:r w:rsidRPr="007849A2">
          <w:rPr>
            <w:rFonts w:eastAsia="Calibri"/>
          </w:rPr>
          <w:t xml:space="preserve"> same or different RAT</w:t>
        </w:r>
        <w:r>
          <w:rPr>
            <w:rFonts w:eastAsia="Calibri"/>
          </w:rPr>
          <w:t xml:space="preserve">, </w:t>
        </w:r>
        <w:r w:rsidRPr="007849A2">
          <w:rPr>
            <w:rFonts w:eastAsia="Calibri"/>
          </w:rPr>
          <w:t xml:space="preserve">including </w:t>
        </w:r>
        <w:r>
          <w:rPr>
            <w:rFonts w:eastAsia="Calibri"/>
          </w:rPr>
          <w:t xml:space="preserve">terrestrial </w:t>
        </w:r>
        <w:r w:rsidRPr="007849A2">
          <w:rPr>
            <w:rFonts w:eastAsia="Calibri"/>
          </w:rPr>
          <w:t>NR plus NR</w:t>
        </w:r>
        <w:r>
          <w:rPr>
            <w:rFonts w:eastAsia="Calibri"/>
          </w:rPr>
          <w:t xml:space="preserve"> or</w:t>
        </w:r>
        <w:r w:rsidRPr="007849A2">
          <w:rPr>
            <w:rFonts w:eastAsia="Calibri"/>
          </w:rPr>
          <w:t xml:space="preserve"> NR plus E-UTRA (e.g. </w:t>
        </w:r>
        <w:r>
          <w:rPr>
            <w:rFonts w:eastAsia="Calibri"/>
          </w:rPr>
          <w:t>using</w:t>
        </w:r>
        <w:r w:rsidRPr="007849A2">
          <w:rPr>
            <w:rFonts w:eastAsia="Calibri"/>
          </w:rPr>
          <w:t xml:space="preserve"> a combined EPC and 5GC), </w:t>
        </w:r>
        <w:r>
          <w:rPr>
            <w:rFonts w:eastAsia="Calibri"/>
          </w:rPr>
          <w:t xml:space="preserve">mix of terrestrial plus satellite NR, as well as dual NR </w:t>
        </w:r>
        <w:r w:rsidRPr="007849A2">
          <w:rPr>
            <w:rFonts w:eastAsia="Calibri"/>
          </w:rPr>
          <w:t>satellite access (</w:t>
        </w:r>
        <w:r>
          <w:rPr>
            <w:rFonts w:eastAsia="Calibri"/>
          </w:rPr>
          <w:t xml:space="preserve">using </w:t>
        </w:r>
        <w:r w:rsidRPr="007849A2">
          <w:rPr>
            <w:rFonts w:eastAsia="Calibri"/>
          </w:rPr>
          <w:t>same or different NTN orbits</w:t>
        </w:r>
      </w:ins>
      <w:ins w:id="32" w:author="Qualcomm2" w:date="2023-02-09T12:42:00Z">
        <w:r>
          <w:rPr>
            <w:rFonts w:eastAsia="Calibri"/>
          </w:rPr>
          <w:t xml:space="preserve">, </w:t>
        </w:r>
        <w:r w:rsidRPr="00A73658">
          <w:rPr>
            <w:noProof/>
            <w:lang w:val="en-US"/>
          </w:rPr>
          <w:t>e.g., GEO/MEO/LEO</w:t>
        </w:r>
      </w:ins>
      <w:ins w:id="33" w:author="Qualcomm2" w:date="2023-02-09T12:26:00Z">
        <w:r w:rsidRPr="007849A2">
          <w:rPr>
            <w:rFonts w:eastAsia="Calibri"/>
          </w:rPr>
          <w:t>).</w:t>
        </w:r>
      </w:ins>
    </w:p>
    <w:p w14:paraId="1379C9E0" w14:textId="7F21BD6D" w:rsidR="00A82CEA" w:rsidRPr="00C64D87" w:rsidRDefault="009A01FE" w:rsidP="00A82CEA">
      <w:pPr>
        <w:rPr>
          <w:ins w:id="34" w:author="Qualcomm2" w:date="2023-02-09T12:26:00Z"/>
          <w:noProof/>
          <w:lang w:val="en-US"/>
        </w:rPr>
      </w:pPr>
      <w:ins w:id="35" w:author="Qualcomm2" w:date="2023-02-09T12:26:00Z">
        <w:r w:rsidRPr="007849A2">
          <w:rPr>
            <w:rFonts w:eastAsia="Calibri"/>
          </w:rPr>
          <w:t>In case of inter-PLMN/NPN</w:t>
        </w:r>
      </w:ins>
      <w:r>
        <w:rPr>
          <w:rFonts w:eastAsia="Calibri"/>
        </w:rPr>
        <w:t xml:space="preserve"> scenarios</w:t>
      </w:r>
      <w:ins w:id="36" w:author="Qualcomm2" w:date="2023-02-09T12:26:00Z">
        <w:r w:rsidRPr="007849A2">
          <w:rPr>
            <w:rFonts w:eastAsia="Calibri"/>
          </w:rPr>
          <w:t>, a proper business agreement is assumed to be in place between the two network operators</w:t>
        </w:r>
      </w:ins>
      <w:ins w:id="37" w:author="Qualcomm2" w:date="2023-02-09T12:47:00Z">
        <w:r>
          <w:rPr>
            <w:rFonts w:eastAsia="Calibri"/>
          </w:rPr>
          <w:t xml:space="preserve"> (may include or have </w:t>
        </w:r>
      </w:ins>
      <w:ins w:id="38" w:author="Qualcomm2" w:date="2023-02-09T12:45:00Z">
        <w:r>
          <w:rPr>
            <w:rFonts w:eastAsia="Calibri"/>
          </w:rPr>
          <w:t>no impact</w:t>
        </w:r>
      </w:ins>
      <w:ins w:id="39" w:author="Qualcomm2" w:date="2023-02-09T12:43:00Z">
        <w:r w:rsidRPr="00A73658">
          <w:rPr>
            <w:noProof/>
            <w:lang w:val="en-US"/>
          </w:rPr>
          <w:t xml:space="preserve"> </w:t>
        </w:r>
      </w:ins>
      <w:ins w:id="40" w:author="Qualcomm2" w:date="2023-02-09T12:47:00Z">
        <w:r>
          <w:rPr>
            <w:noProof/>
            <w:lang w:val="en-US"/>
          </w:rPr>
          <w:t xml:space="preserve">to </w:t>
        </w:r>
      </w:ins>
      <w:ins w:id="41" w:author="Qualcomm2" w:date="2023-02-09T12:43:00Z">
        <w:r w:rsidRPr="00A73658">
          <w:rPr>
            <w:noProof/>
            <w:lang w:val="en-US"/>
          </w:rPr>
          <w:t>normal inter-PLMN roaming</w:t>
        </w:r>
      </w:ins>
      <w:ins w:id="42" w:author="Qualcomm2" w:date="2023-02-09T12:47:00Z">
        <w:r>
          <w:rPr>
            <w:noProof/>
            <w:lang w:val="en-US"/>
          </w:rPr>
          <w:t>)</w:t>
        </w:r>
      </w:ins>
      <w:r>
        <w:rPr>
          <w:noProof/>
          <w:lang w:val="en-US"/>
        </w:rPr>
        <w:t xml:space="preserve">, and UE’s </w:t>
      </w:r>
      <w:ins w:id="43" w:author="Qualcomm2" w:date="2023-02-09T12:26:00Z">
        <w:r w:rsidR="00A82CEA" w:rsidRPr="007849A2">
          <w:rPr>
            <w:rFonts w:eastAsia="Calibri"/>
          </w:rPr>
          <w:t xml:space="preserve">user data </w:t>
        </w:r>
      </w:ins>
      <w:r w:rsidR="00F71DDB">
        <w:rPr>
          <w:rFonts w:eastAsia="Calibri"/>
        </w:rPr>
        <w:t>transferred</w:t>
      </w:r>
      <w:ins w:id="44" w:author="Qualcomm2" w:date="2023-02-09T12:26:00Z">
        <w:r w:rsidR="00A82CEA" w:rsidRPr="007849A2">
          <w:rPr>
            <w:rFonts w:eastAsia="Calibri"/>
          </w:rPr>
          <w:t xml:space="preserve"> over the two networks is anchored in the HPLMN core network. </w:t>
        </w:r>
        <w:r w:rsidR="00A82CEA">
          <w:rPr>
            <w:rFonts w:eastAsia="Calibri"/>
          </w:rPr>
          <w:t xml:space="preserve">In some roaming scenarios (e.g. intra-VPLMN) local breakout is also possible. </w:t>
        </w:r>
      </w:ins>
    </w:p>
    <w:p w14:paraId="42425889" w14:textId="7EB3B0DF" w:rsidR="00A82CEA" w:rsidRPr="007849A2" w:rsidRDefault="00A82CEA" w:rsidP="00A82CEA">
      <w:pPr>
        <w:rPr>
          <w:ins w:id="45" w:author="Qualcomm2" w:date="2023-02-09T12:26:00Z"/>
          <w:rFonts w:eastAsia="Calibri"/>
        </w:rPr>
      </w:pPr>
      <w:ins w:id="46" w:author="Qualcomm2" w:date="2023-02-09T12:26:00Z">
        <w:r>
          <w:rPr>
            <w:rFonts w:eastAsia="Calibri"/>
          </w:rPr>
          <w:t xml:space="preserve">Use cases target different types of traffic routing options and service flows, including steering and distributing </w:t>
        </w:r>
      </w:ins>
      <w:r w:rsidR="000436A8">
        <w:rPr>
          <w:rFonts w:eastAsia="Calibri"/>
        </w:rPr>
        <w:t xml:space="preserve">same/different </w:t>
      </w:r>
      <w:ins w:id="47" w:author="Qualcomm2" w:date="2023-02-09T12:26:00Z">
        <w:r>
          <w:rPr>
            <w:rFonts w:eastAsia="Calibri"/>
          </w:rPr>
          <w:t>data over the most suitable network, splitting and aggregating traffic for higher Tput (e.g. for XR or streaming), switching traffic between networks in case of mobility</w:t>
        </w:r>
      </w:ins>
      <w:ins w:id="48" w:author="Qualcomm2" w:date="2023-02-09T12:27:00Z">
        <w:r w:rsidR="006E42D0">
          <w:rPr>
            <w:rFonts w:eastAsia="Calibri"/>
          </w:rPr>
          <w:t xml:space="preserve"> for smoother service continuity</w:t>
        </w:r>
      </w:ins>
      <w:ins w:id="49" w:author="Qualcomm2" w:date="2023-02-09T12:26:00Z">
        <w:r>
          <w:rPr>
            <w:rFonts w:eastAsia="Calibri"/>
          </w:rPr>
          <w:t xml:space="preserve">, </w:t>
        </w:r>
        <w:r w:rsidRPr="0016473B">
          <w:rPr>
            <w:rFonts w:eastAsia="Calibri"/>
          </w:rPr>
          <w:t>duplicat</w:t>
        </w:r>
        <w:r>
          <w:rPr>
            <w:rFonts w:eastAsia="Calibri"/>
          </w:rPr>
          <w:t xml:space="preserve">ing data </w:t>
        </w:r>
      </w:ins>
      <w:ins w:id="50" w:author="Qualcomm2" w:date="2023-02-09T12:27:00Z">
        <w:r w:rsidR="0040714A">
          <w:rPr>
            <w:rFonts w:eastAsia="Calibri"/>
          </w:rPr>
          <w:t xml:space="preserve">across two connection paths </w:t>
        </w:r>
      </w:ins>
      <w:ins w:id="51" w:author="Qualcomm2" w:date="2023-02-09T12:26:00Z">
        <w:r w:rsidRPr="0016473B">
          <w:rPr>
            <w:rFonts w:eastAsia="Calibri"/>
          </w:rPr>
          <w:t>e.g.</w:t>
        </w:r>
        <w:r>
          <w:rPr>
            <w:rFonts w:eastAsia="Calibri"/>
          </w:rPr>
          <w:t>,</w:t>
        </w:r>
        <w:r w:rsidRPr="0016473B">
          <w:rPr>
            <w:rFonts w:eastAsia="Calibri"/>
          </w:rPr>
          <w:t xml:space="preserve"> for higher </w:t>
        </w:r>
        <w:r>
          <w:rPr>
            <w:rFonts w:eastAsia="Calibri"/>
          </w:rPr>
          <w:t xml:space="preserve">redundancy </w:t>
        </w:r>
      </w:ins>
      <w:ins w:id="52" w:author="Qualcomm2" w:date="2023-02-09T12:28:00Z">
        <w:r w:rsidR="0040714A">
          <w:rPr>
            <w:rFonts w:eastAsia="Calibri"/>
          </w:rPr>
          <w:t>or</w:t>
        </w:r>
      </w:ins>
      <w:ins w:id="53" w:author="Qualcomm2" w:date="2023-02-09T12:26:00Z">
        <w:r>
          <w:rPr>
            <w:rFonts w:eastAsia="Calibri"/>
          </w:rPr>
          <w:t xml:space="preserve"> </w:t>
        </w:r>
        <w:r w:rsidRPr="0016473B">
          <w:rPr>
            <w:rFonts w:eastAsia="Calibri"/>
          </w:rPr>
          <w:t>reliability.</w:t>
        </w:r>
        <w:r>
          <w:rPr>
            <w:rFonts w:eastAsia="Calibri"/>
          </w:rPr>
          <w:t xml:space="preserve"> </w:t>
        </w:r>
        <w:r w:rsidRPr="007849A2">
          <w:rPr>
            <w:rFonts w:eastAsia="Calibri"/>
          </w:rPr>
          <w:t xml:space="preserve">Traffic configuration policies, </w:t>
        </w:r>
        <w:r>
          <w:rPr>
            <w:rFonts w:eastAsia="Calibri"/>
          </w:rPr>
          <w:t xml:space="preserve">assumed to be </w:t>
        </w:r>
        <w:r w:rsidRPr="007849A2">
          <w:rPr>
            <w:rFonts w:eastAsia="Calibri"/>
          </w:rPr>
          <w:t xml:space="preserve">under HPLMN control </w:t>
        </w:r>
        <w:r>
          <w:rPr>
            <w:rFonts w:eastAsia="Calibri"/>
          </w:rPr>
          <w:t>(</w:t>
        </w:r>
        <w:r w:rsidRPr="007849A2">
          <w:rPr>
            <w:rFonts w:eastAsia="Calibri"/>
          </w:rPr>
          <w:t xml:space="preserve">and/or negotiated </w:t>
        </w:r>
        <w:r>
          <w:rPr>
            <w:rFonts w:eastAsia="Calibri"/>
          </w:rPr>
          <w:t>between HPLMN and other PLMN/NPNs)</w:t>
        </w:r>
        <w:r w:rsidRPr="007849A2">
          <w:rPr>
            <w:rFonts w:eastAsia="Calibri"/>
          </w:rPr>
          <w:t xml:space="preserve">, can consider </w:t>
        </w:r>
        <w:r>
          <w:rPr>
            <w:rFonts w:eastAsia="Calibri"/>
          </w:rPr>
          <w:t>different criteria</w:t>
        </w:r>
      </w:ins>
      <w:ins w:id="54" w:author="Qualcomm2" w:date="2023-02-09T12:28:00Z">
        <w:r w:rsidR="004A189A">
          <w:rPr>
            <w:rFonts w:eastAsia="Calibri"/>
          </w:rPr>
          <w:t xml:space="preserve">, </w:t>
        </w:r>
        <w:r w:rsidR="004A189A">
          <w:rPr>
            <w:rFonts w:eastAsia="Calibri"/>
          </w:rPr>
          <w:lastRenderedPageBreak/>
          <w:t>rules</w:t>
        </w:r>
      </w:ins>
      <w:ins w:id="55" w:author="Qualcomm2" w:date="2023-02-09T12:26:00Z">
        <w:r>
          <w:rPr>
            <w:rFonts w:eastAsia="Calibri"/>
          </w:rPr>
          <w:t xml:space="preserve"> or conditions/restrictions, for example</w:t>
        </w:r>
        <w:r w:rsidRPr="007849A2">
          <w:rPr>
            <w:rFonts w:eastAsia="Calibri"/>
          </w:rPr>
          <w:t xml:space="preserve"> </w:t>
        </w:r>
      </w:ins>
      <w:ins w:id="56" w:author="Qualcomm2" w:date="2023-02-09T12:28:00Z">
        <w:r w:rsidR="004A189A">
          <w:rPr>
            <w:rFonts w:eastAsia="Calibri"/>
          </w:rPr>
          <w:t xml:space="preserve">based on </w:t>
        </w:r>
      </w:ins>
      <w:ins w:id="57" w:author="Qualcomm2" w:date="2023-02-09T12:26:00Z">
        <w:r w:rsidRPr="007849A2">
          <w:rPr>
            <w:rFonts w:eastAsia="Calibri"/>
          </w:rPr>
          <w:t>subscription, application/traffic type, service QoS, location</w:t>
        </w:r>
        <w:r>
          <w:rPr>
            <w:rFonts w:eastAsia="Calibri"/>
          </w:rPr>
          <w:t xml:space="preserve"> and/or</w:t>
        </w:r>
        <w:r w:rsidRPr="007849A2">
          <w:rPr>
            <w:rFonts w:eastAsia="Calibri"/>
          </w:rPr>
          <w:t xml:space="preserve"> time, </w:t>
        </w:r>
        <w:r>
          <w:rPr>
            <w:rFonts w:eastAsia="Calibri"/>
          </w:rPr>
          <w:t>network</w:t>
        </w:r>
        <w:r w:rsidRPr="007849A2">
          <w:rPr>
            <w:rFonts w:eastAsia="Calibri"/>
          </w:rPr>
          <w:t xml:space="preserve"> conditions.</w:t>
        </w:r>
      </w:ins>
    </w:p>
    <w:p w14:paraId="15F58D9C" w14:textId="7FB0EA35" w:rsidR="00A82CEA" w:rsidRPr="00C64D87" w:rsidRDefault="00A82CEA" w:rsidP="00A82CEA">
      <w:pPr>
        <w:rPr>
          <w:ins w:id="58" w:author="Qualcomm2" w:date="2023-02-09T12:26:00Z"/>
          <w:noProof/>
          <w:lang w:val="en-US"/>
        </w:rPr>
      </w:pPr>
      <w:ins w:id="59" w:author="Qualcomm2" w:date="2023-02-09T12:26:00Z">
        <w:r>
          <w:t xml:space="preserve">Regarding potential new requirements, one general consideration is that they assume </w:t>
        </w:r>
        <w:r w:rsidRPr="007849A2">
          <w:t xml:space="preserve">5GS functionalities </w:t>
        </w:r>
        <w:r>
          <w:t xml:space="preserve">that </w:t>
        </w:r>
        <w:r w:rsidRPr="007849A2">
          <w:t>do not foresee RAN impacts.</w:t>
        </w:r>
      </w:ins>
      <w:ins w:id="60" w:author="Qualcomm2" w:date="2023-02-09T12:42:00Z">
        <w:r w:rsidR="00C64D87">
          <w:t xml:space="preserve"> In addition, s</w:t>
        </w:r>
        <w:r w:rsidR="00C64D87" w:rsidRPr="00A73658">
          <w:rPr>
            <w:noProof/>
            <w:lang w:val="en-US"/>
          </w:rPr>
          <w:t xml:space="preserve">imultaneous connectivity over two </w:t>
        </w:r>
        <w:r w:rsidR="00C64D87">
          <w:rPr>
            <w:noProof/>
            <w:lang w:val="en-US"/>
          </w:rPr>
          <w:t>3GPP</w:t>
        </w:r>
        <w:r w:rsidR="00C64D87" w:rsidRPr="00A73658">
          <w:rPr>
            <w:noProof/>
            <w:lang w:val="en-US"/>
          </w:rPr>
          <w:t xml:space="preserve"> </w:t>
        </w:r>
        <w:r w:rsidR="00C64D87">
          <w:rPr>
            <w:noProof/>
            <w:lang w:val="en-US"/>
          </w:rPr>
          <w:t>networks</w:t>
        </w:r>
        <w:r w:rsidR="00C64D87" w:rsidRPr="00A73658">
          <w:rPr>
            <w:noProof/>
            <w:lang w:val="en-US"/>
          </w:rPr>
          <w:t xml:space="preserve"> presumes UE support of proper capabilities (e.g., dual radio).</w:t>
        </w:r>
      </w:ins>
    </w:p>
    <w:p w14:paraId="271556B4" w14:textId="65B38C19" w:rsidR="00E14112" w:rsidRPr="002C66A4" w:rsidRDefault="00A82CEA" w:rsidP="00A82CEA">
      <w:pPr>
        <w:rPr>
          <w:color w:val="FF0000"/>
        </w:rPr>
      </w:pPr>
      <w:ins w:id="61" w:author="Qualcomm2" w:date="2023-02-09T12:26:00Z">
        <w:r w:rsidRPr="002C66A4">
          <w:rPr>
            <w:color w:val="FF0000"/>
          </w:rPr>
          <w:tab/>
          <w:t xml:space="preserve">Editor’s Note: </w:t>
        </w:r>
      </w:ins>
      <w:ins w:id="62" w:author="Qualcomm2" w:date="2023-02-09T23:39:00Z">
        <w:r w:rsidR="00922A46">
          <w:rPr>
            <w:color w:val="FF0000"/>
          </w:rPr>
          <w:t xml:space="preserve">text </w:t>
        </w:r>
      </w:ins>
      <w:ins w:id="63" w:author="Qualcomm2" w:date="2023-02-09T12:26:00Z">
        <w:r w:rsidRPr="002C66A4">
          <w:rPr>
            <w:color w:val="FF0000"/>
          </w:rPr>
          <w:t xml:space="preserve">maybe updated based on new inputs </w:t>
        </w:r>
        <w:r>
          <w:rPr>
            <w:color w:val="FF0000"/>
          </w:rPr>
          <w:t>/</w:t>
        </w:r>
        <w:r w:rsidRPr="002C66A4">
          <w:rPr>
            <w:color w:val="FF0000"/>
          </w:rPr>
          <w:t xml:space="preserve"> use cases agreed during this</w:t>
        </w:r>
        <w:r>
          <w:rPr>
            <w:color w:val="FF0000"/>
          </w:rPr>
          <w:t xml:space="preserve"> or </w:t>
        </w:r>
        <w:r w:rsidRPr="002C66A4">
          <w:rPr>
            <w:color w:val="FF0000"/>
          </w:rPr>
          <w:t>next SA1 meeting.</w:t>
        </w:r>
      </w:ins>
    </w:p>
    <w:p w14:paraId="39C93881" w14:textId="483BC4A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8591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E6AE5" w14:textId="77777777" w:rsidR="00F04BE2" w:rsidRDefault="00F04BE2">
      <w:r>
        <w:separator/>
      </w:r>
    </w:p>
  </w:endnote>
  <w:endnote w:type="continuationSeparator" w:id="0">
    <w:p w14:paraId="4382D686" w14:textId="77777777" w:rsidR="00F04BE2" w:rsidRDefault="00F0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57A9F" w14:textId="77777777" w:rsidR="00F04BE2" w:rsidRDefault="00F04BE2">
      <w:r>
        <w:separator/>
      </w:r>
    </w:p>
  </w:footnote>
  <w:footnote w:type="continuationSeparator" w:id="0">
    <w:p w14:paraId="5CE11EF9" w14:textId="77777777" w:rsidR="00F04BE2" w:rsidRDefault="00F04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36A8"/>
    <w:rsid w:val="00051834"/>
    <w:rsid w:val="00054A22"/>
    <w:rsid w:val="00062023"/>
    <w:rsid w:val="000655A6"/>
    <w:rsid w:val="00080512"/>
    <w:rsid w:val="00084CFA"/>
    <w:rsid w:val="0009108F"/>
    <w:rsid w:val="000B6306"/>
    <w:rsid w:val="000C47C3"/>
    <w:rsid w:val="000D58AB"/>
    <w:rsid w:val="00103611"/>
    <w:rsid w:val="0010437D"/>
    <w:rsid w:val="00133525"/>
    <w:rsid w:val="00155BE0"/>
    <w:rsid w:val="00162E27"/>
    <w:rsid w:val="0016473B"/>
    <w:rsid w:val="001A4C42"/>
    <w:rsid w:val="001A7420"/>
    <w:rsid w:val="001B6637"/>
    <w:rsid w:val="001C21C3"/>
    <w:rsid w:val="001D02C2"/>
    <w:rsid w:val="001E6EA3"/>
    <w:rsid w:val="001F0C1D"/>
    <w:rsid w:val="001F1132"/>
    <w:rsid w:val="001F168B"/>
    <w:rsid w:val="001F23AB"/>
    <w:rsid w:val="001F56C7"/>
    <w:rsid w:val="002347A2"/>
    <w:rsid w:val="00250204"/>
    <w:rsid w:val="002675F0"/>
    <w:rsid w:val="002760EE"/>
    <w:rsid w:val="002914A8"/>
    <w:rsid w:val="002B6339"/>
    <w:rsid w:val="002C66A4"/>
    <w:rsid w:val="002E00EE"/>
    <w:rsid w:val="00300D7D"/>
    <w:rsid w:val="003170A9"/>
    <w:rsid w:val="003172DC"/>
    <w:rsid w:val="003372E4"/>
    <w:rsid w:val="00340716"/>
    <w:rsid w:val="00352852"/>
    <w:rsid w:val="0035462D"/>
    <w:rsid w:val="00356555"/>
    <w:rsid w:val="003765B8"/>
    <w:rsid w:val="00380DC0"/>
    <w:rsid w:val="00391CFD"/>
    <w:rsid w:val="0039455E"/>
    <w:rsid w:val="0039654F"/>
    <w:rsid w:val="003A27CC"/>
    <w:rsid w:val="003C3971"/>
    <w:rsid w:val="003E1C90"/>
    <w:rsid w:val="003F0A3D"/>
    <w:rsid w:val="0040714A"/>
    <w:rsid w:val="00423334"/>
    <w:rsid w:val="004345EC"/>
    <w:rsid w:val="004468CD"/>
    <w:rsid w:val="00447D52"/>
    <w:rsid w:val="00465515"/>
    <w:rsid w:val="0049751D"/>
    <w:rsid w:val="004A189A"/>
    <w:rsid w:val="004B112E"/>
    <w:rsid w:val="004C1EEF"/>
    <w:rsid w:val="004C30AC"/>
    <w:rsid w:val="004C377C"/>
    <w:rsid w:val="004D3578"/>
    <w:rsid w:val="004D50ED"/>
    <w:rsid w:val="004E213A"/>
    <w:rsid w:val="004E2643"/>
    <w:rsid w:val="004F0988"/>
    <w:rsid w:val="004F3340"/>
    <w:rsid w:val="0050044B"/>
    <w:rsid w:val="005069AA"/>
    <w:rsid w:val="00511B9D"/>
    <w:rsid w:val="0053388B"/>
    <w:rsid w:val="00535773"/>
    <w:rsid w:val="00543E6C"/>
    <w:rsid w:val="00550B2B"/>
    <w:rsid w:val="00556334"/>
    <w:rsid w:val="00565087"/>
    <w:rsid w:val="00565BD8"/>
    <w:rsid w:val="00570781"/>
    <w:rsid w:val="00587810"/>
    <w:rsid w:val="00597B11"/>
    <w:rsid w:val="005B1109"/>
    <w:rsid w:val="005D2E01"/>
    <w:rsid w:val="005D7526"/>
    <w:rsid w:val="005E4BB2"/>
    <w:rsid w:val="005F788A"/>
    <w:rsid w:val="00602AEA"/>
    <w:rsid w:val="00605F1D"/>
    <w:rsid w:val="00614FDF"/>
    <w:rsid w:val="00624F81"/>
    <w:rsid w:val="00634DCF"/>
    <w:rsid w:val="0063543D"/>
    <w:rsid w:val="00647114"/>
    <w:rsid w:val="0066374F"/>
    <w:rsid w:val="00687DC4"/>
    <w:rsid w:val="006912E9"/>
    <w:rsid w:val="006A323F"/>
    <w:rsid w:val="006B30D0"/>
    <w:rsid w:val="006B4007"/>
    <w:rsid w:val="006C2147"/>
    <w:rsid w:val="006C3D95"/>
    <w:rsid w:val="006C4821"/>
    <w:rsid w:val="006E42D0"/>
    <w:rsid w:val="006E5C86"/>
    <w:rsid w:val="006F2A36"/>
    <w:rsid w:val="00701116"/>
    <w:rsid w:val="00707065"/>
    <w:rsid w:val="0071174C"/>
    <w:rsid w:val="00713C44"/>
    <w:rsid w:val="007152EB"/>
    <w:rsid w:val="0073291A"/>
    <w:rsid w:val="00734A5B"/>
    <w:rsid w:val="0074026F"/>
    <w:rsid w:val="007429F6"/>
    <w:rsid w:val="00744E76"/>
    <w:rsid w:val="00745060"/>
    <w:rsid w:val="00750505"/>
    <w:rsid w:val="007632F7"/>
    <w:rsid w:val="00765EA3"/>
    <w:rsid w:val="00774DA4"/>
    <w:rsid w:val="00781F0F"/>
    <w:rsid w:val="007849A2"/>
    <w:rsid w:val="007859A8"/>
    <w:rsid w:val="00790AF6"/>
    <w:rsid w:val="007A6C4E"/>
    <w:rsid w:val="007B600E"/>
    <w:rsid w:val="007F0F4A"/>
    <w:rsid w:val="008028A4"/>
    <w:rsid w:val="00830747"/>
    <w:rsid w:val="008359CD"/>
    <w:rsid w:val="008768CA"/>
    <w:rsid w:val="00881287"/>
    <w:rsid w:val="0088222E"/>
    <w:rsid w:val="008B021C"/>
    <w:rsid w:val="008B5094"/>
    <w:rsid w:val="008B771D"/>
    <w:rsid w:val="008C384C"/>
    <w:rsid w:val="008D05CF"/>
    <w:rsid w:val="008E2D68"/>
    <w:rsid w:val="008E6756"/>
    <w:rsid w:val="0090097B"/>
    <w:rsid w:val="00901F80"/>
    <w:rsid w:val="0090271F"/>
    <w:rsid w:val="00902E23"/>
    <w:rsid w:val="009114D7"/>
    <w:rsid w:val="0091348E"/>
    <w:rsid w:val="00916646"/>
    <w:rsid w:val="00917CCB"/>
    <w:rsid w:val="00922A46"/>
    <w:rsid w:val="00933FB0"/>
    <w:rsid w:val="00942EC2"/>
    <w:rsid w:val="00963965"/>
    <w:rsid w:val="00983E0B"/>
    <w:rsid w:val="009A01FE"/>
    <w:rsid w:val="009C56A2"/>
    <w:rsid w:val="009F37B7"/>
    <w:rsid w:val="00A10F02"/>
    <w:rsid w:val="00A164B4"/>
    <w:rsid w:val="00A258EE"/>
    <w:rsid w:val="00A26956"/>
    <w:rsid w:val="00A27486"/>
    <w:rsid w:val="00A360E8"/>
    <w:rsid w:val="00A44E4F"/>
    <w:rsid w:val="00A53724"/>
    <w:rsid w:val="00A53E35"/>
    <w:rsid w:val="00A56066"/>
    <w:rsid w:val="00A56748"/>
    <w:rsid w:val="00A62CA7"/>
    <w:rsid w:val="00A637CD"/>
    <w:rsid w:val="00A73129"/>
    <w:rsid w:val="00A81B57"/>
    <w:rsid w:val="00A82346"/>
    <w:rsid w:val="00A82CEA"/>
    <w:rsid w:val="00A92BA1"/>
    <w:rsid w:val="00A95A32"/>
    <w:rsid w:val="00AA11D1"/>
    <w:rsid w:val="00AB4A5D"/>
    <w:rsid w:val="00AC6BC6"/>
    <w:rsid w:val="00AE65E2"/>
    <w:rsid w:val="00AF1460"/>
    <w:rsid w:val="00B15449"/>
    <w:rsid w:val="00B30942"/>
    <w:rsid w:val="00B5423F"/>
    <w:rsid w:val="00B75EE2"/>
    <w:rsid w:val="00B76B93"/>
    <w:rsid w:val="00B93086"/>
    <w:rsid w:val="00BA19ED"/>
    <w:rsid w:val="00BA4965"/>
    <w:rsid w:val="00BA4B8D"/>
    <w:rsid w:val="00BA542A"/>
    <w:rsid w:val="00BC0F7D"/>
    <w:rsid w:val="00BD150B"/>
    <w:rsid w:val="00BD4571"/>
    <w:rsid w:val="00BD7D31"/>
    <w:rsid w:val="00BE3255"/>
    <w:rsid w:val="00BE50ED"/>
    <w:rsid w:val="00BE7BF9"/>
    <w:rsid w:val="00BF128E"/>
    <w:rsid w:val="00C06273"/>
    <w:rsid w:val="00C074DD"/>
    <w:rsid w:val="00C1496A"/>
    <w:rsid w:val="00C33079"/>
    <w:rsid w:val="00C45231"/>
    <w:rsid w:val="00C551FF"/>
    <w:rsid w:val="00C64D87"/>
    <w:rsid w:val="00C7009A"/>
    <w:rsid w:val="00C72833"/>
    <w:rsid w:val="00C80F1D"/>
    <w:rsid w:val="00C91962"/>
    <w:rsid w:val="00C93F40"/>
    <w:rsid w:val="00CA3D0C"/>
    <w:rsid w:val="00CB23F6"/>
    <w:rsid w:val="00CD265D"/>
    <w:rsid w:val="00CF5409"/>
    <w:rsid w:val="00CF66FC"/>
    <w:rsid w:val="00D05058"/>
    <w:rsid w:val="00D57972"/>
    <w:rsid w:val="00D675A9"/>
    <w:rsid w:val="00D738D6"/>
    <w:rsid w:val="00D755EB"/>
    <w:rsid w:val="00D76048"/>
    <w:rsid w:val="00D82E6F"/>
    <w:rsid w:val="00D87E00"/>
    <w:rsid w:val="00D9134D"/>
    <w:rsid w:val="00D93BB5"/>
    <w:rsid w:val="00DA560A"/>
    <w:rsid w:val="00DA7A03"/>
    <w:rsid w:val="00DB1818"/>
    <w:rsid w:val="00DC309B"/>
    <w:rsid w:val="00DC4DA2"/>
    <w:rsid w:val="00DD4C17"/>
    <w:rsid w:val="00DD74A5"/>
    <w:rsid w:val="00DF2B1F"/>
    <w:rsid w:val="00DF62CD"/>
    <w:rsid w:val="00E14112"/>
    <w:rsid w:val="00E16509"/>
    <w:rsid w:val="00E351BA"/>
    <w:rsid w:val="00E44582"/>
    <w:rsid w:val="00E77645"/>
    <w:rsid w:val="00E81F66"/>
    <w:rsid w:val="00E85912"/>
    <w:rsid w:val="00EA15B0"/>
    <w:rsid w:val="00EA429D"/>
    <w:rsid w:val="00EA5EA7"/>
    <w:rsid w:val="00EC4A25"/>
    <w:rsid w:val="00EF28B4"/>
    <w:rsid w:val="00EF608C"/>
    <w:rsid w:val="00F025A2"/>
    <w:rsid w:val="00F04712"/>
    <w:rsid w:val="00F04BE2"/>
    <w:rsid w:val="00F13360"/>
    <w:rsid w:val="00F208B8"/>
    <w:rsid w:val="00F22EC7"/>
    <w:rsid w:val="00F23161"/>
    <w:rsid w:val="00F325C8"/>
    <w:rsid w:val="00F40D8E"/>
    <w:rsid w:val="00F6155A"/>
    <w:rsid w:val="00F653B8"/>
    <w:rsid w:val="00F7088B"/>
    <w:rsid w:val="00F71DDB"/>
    <w:rsid w:val="00F85E9F"/>
    <w:rsid w:val="00F9008D"/>
    <w:rsid w:val="00FA1266"/>
    <w:rsid w:val="00FB5AD3"/>
    <w:rsid w:val="00FC1192"/>
    <w:rsid w:val="00FC7395"/>
    <w:rsid w:val="00FD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05058"/>
    <w:rPr>
      <w:lang w:eastAsia="en-US"/>
    </w:rPr>
  </w:style>
  <w:style w:type="paragraph" w:styleId="ListParagraph">
    <w:name w:val="List Paragraph"/>
    <w:basedOn w:val="Normal"/>
    <w:uiPriority w:val="34"/>
    <w:qFormat/>
    <w:rsid w:val="00784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Qualcomm2</cp:lastModifiedBy>
  <cp:revision>94</cp:revision>
  <cp:lastPrinted>2019-02-25T14:05:00Z</cp:lastPrinted>
  <dcterms:created xsi:type="dcterms:W3CDTF">2023-02-06T22:06:00Z</dcterms:created>
  <dcterms:modified xsi:type="dcterms:W3CDTF">2023-02-10T19:34:00Z</dcterms:modified>
</cp:coreProperties>
</file>